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F7A33" w:rsidRDefault="008513BE">
      <w:pPr>
        <w:pStyle w:val="a0"/>
        <w:divId w:val="1599291318"/>
      </w:pPr>
      <w:r>
        <w:t> </w:t>
      </w:r>
    </w:p>
    <w:p w:rsidR="00AF7A33" w:rsidRDefault="008513BE">
      <w:pPr>
        <w:pStyle w:val="nenorgpr"/>
        <w:divId w:val="1599291318"/>
      </w:pPr>
      <w:bookmarkStart w:id="0" w:name="a2"/>
      <w:bookmarkEnd w:id="0"/>
      <w:r>
        <w:t>РЕШЕНИЕ МИНСКОГО ОБЛАСТНОГО ИСПОЛНИТЕЛЬНОГО КОМИТЕТА</w:t>
      </w:r>
    </w:p>
    <w:p w:rsidR="00AF7A33" w:rsidRDefault="008513BE">
      <w:pPr>
        <w:pStyle w:val="nendate"/>
        <w:divId w:val="1599291318"/>
      </w:pPr>
      <w:r>
        <w:t xml:space="preserve">31 октября 2019 г. № 844 </w:t>
      </w:r>
    </w:p>
    <w:p w:rsidR="00AF7A33" w:rsidRDefault="008513BE">
      <w:pPr>
        <w:pStyle w:val="Heading1"/>
        <w:ind w:right="2268"/>
        <w:jc w:val="left"/>
        <w:divId w:val="1599291318"/>
        <w:rPr>
          <w:rFonts w:eastAsia="Times New Roman"/>
        </w:rPr>
      </w:pPr>
      <w:r>
        <w:rPr>
          <w:rFonts w:eastAsia="Times New Roman"/>
        </w:rPr>
        <w:t xml:space="preserve">О мерах по финансовому оздоровлению сельскохозяйственных организаций Минской области </w:t>
      </w:r>
    </w:p>
    <w:p w:rsidR="00AF7A33" w:rsidRDefault="008513BE">
      <w:pPr>
        <w:pStyle w:val="justify"/>
        <w:divId w:val="1599291318"/>
      </w:pPr>
      <w:r>
        <w:t xml:space="preserve">На основании </w:t>
      </w:r>
      <w:hyperlink r:id="rId4" w:anchor="a46" w:tooltip="+" w:history="1">
        <w:r>
          <w:rPr>
            <w:rStyle w:val="Hyperlink"/>
          </w:rPr>
          <w:t>подпункта 1.1</w:t>
        </w:r>
      </w:hyperlink>
      <w:r>
        <w:t xml:space="preserve"> пункта 1 Указа Президента Республики Беларусь от 2 октября 2018 г. № 399 «О финансовом оздоровлении сельскохозяйственных организаций» Минский областной исполнительный комитет</w:t>
      </w:r>
    </w:p>
    <w:p w:rsidR="00AF7A33" w:rsidRDefault="008513BE">
      <w:pPr>
        <w:pStyle w:val="a0"/>
        <w:divId w:val="1599291318"/>
      </w:pPr>
      <w:r>
        <w:t>РЕШИЛ:</w:t>
      </w:r>
    </w:p>
    <w:p w:rsidR="00AF7A33" w:rsidRDefault="008513BE">
      <w:pPr>
        <w:pStyle w:val="justify"/>
        <w:divId w:val="1599291318"/>
      </w:pPr>
      <w:r>
        <w:t>1. Согласовать бизнес-планы сельскохозяйственных организаций, у которых на 1 июля 2019 г. неплатежеспособность приобретает или имеет устойчивый характер, с учетом рекомендаций комиссии по предупреждению экономической несостоятельности (банкротства) Минского областного исполнительного комитета.</w:t>
      </w:r>
    </w:p>
    <w:p w:rsidR="00AF7A33" w:rsidRDefault="008513BE">
      <w:pPr>
        <w:pStyle w:val="justify"/>
        <w:divId w:val="1599291318"/>
      </w:pPr>
      <w:r>
        <w:t xml:space="preserve">2. Утвердить </w:t>
      </w:r>
      <w:hyperlink w:anchor="a1" w:tooltip="+" w:history="1">
        <w:r>
          <w:rPr>
            <w:rStyle w:val="Hyperlink"/>
          </w:rPr>
          <w:t>перечень</w:t>
        </w:r>
      </w:hyperlink>
      <w:r>
        <w:t xml:space="preserve"> неплатежеспособных сельскохозяйственных организаций Минской области, подлежащих финансовому оздоровлению (прилагается).</w:t>
      </w:r>
    </w:p>
    <w:p w:rsidR="00AF7A33" w:rsidRDefault="008513BE">
      <w:pPr>
        <w:pStyle w:val="justify"/>
        <w:divId w:val="1599291318"/>
      </w:pPr>
      <w:r>
        <w:t>3. Контроль за исполнением настоящего решения возложить на первого заместителя председателя Минского областного исполнительного комитета Макара И.Н.</w:t>
      </w:r>
    </w:p>
    <w:p w:rsidR="00AF7A33" w:rsidRDefault="008513BE">
      <w:pPr>
        <w:pStyle w:val="justify"/>
        <w:divId w:val="1599291318"/>
      </w:pPr>
      <w:r>
        <w:t> 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630"/>
        <w:gridCol w:w="3730"/>
      </w:tblGrid>
      <w:tr w:rsidR="00AF7A33">
        <w:trPr>
          <w:divId w:val="159929131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7A33" w:rsidRDefault="008513BE">
            <w:pPr>
              <w:pStyle w:val="nendolzh"/>
            </w:pPr>
            <w:r>
              <w:t>Председатель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AF7A33" w:rsidRDefault="008513BE">
            <w:pPr>
              <w:pStyle w:val="a0"/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А.М.Исаченко</w:t>
            </w:r>
          </w:p>
        </w:tc>
      </w:tr>
      <w:tr w:rsidR="00AF7A33">
        <w:trPr>
          <w:divId w:val="159929131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7A33" w:rsidRDefault="008513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AF7A33" w:rsidRDefault="008513BE">
            <w:pPr>
              <w:jc w:val="right"/>
              <w:rPr>
                <w:rFonts w:eastAsia="Times New Roman"/>
                <w:b/>
                <w:bCs/>
                <w:i/>
                <w:iCs/>
              </w:rPr>
            </w:pPr>
            <w:r>
              <w:rPr>
                <w:rFonts w:eastAsia="Times New Roman"/>
                <w:b/>
                <w:bCs/>
                <w:i/>
                <w:iCs/>
              </w:rPr>
              <w:t> </w:t>
            </w:r>
          </w:p>
        </w:tc>
      </w:tr>
      <w:tr w:rsidR="00AF7A33">
        <w:trPr>
          <w:divId w:val="159929131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7A33" w:rsidRDefault="008513BE">
            <w:pPr>
              <w:pStyle w:val="nendolzh"/>
            </w:pPr>
            <w:r>
              <w:t xml:space="preserve">Управляющий делами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AF7A33" w:rsidRDefault="008513BE">
            <w:pPr>
              <w:pStyle w:val="a0"/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В.А.Гуринович </w:t>
            </w:r>
          </w:p>
        </w:tc>
      </w:tr>
    </w:tbl>
    <w:p w:rsidR="00AF7A33" w:rsidRDefault="008513BE">
      <w:pPr>
        <w:pStyle w:val="NormalWeb"/>
        <w:divId w:val="1599291318"/>
      </w:pPr>
      <w:r>
        <w:t> 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241"/>
        <w:gridCol w:w="3119"/>
      </w:tblGrid>
      <w:tr w:rsidR="00AF7A33">
        <w:trPr>
          <w:divId w:val="159929131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7A33" w:rsidRDefault="008513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F7A33" w:rsidRDefault="008513BE">
            <w:pPr>
              <w:pStyle w:val="nengrif"/>
            </w:pPr>
            <w:r>
              <w:rPr>
                <w:rStyle w:val="justify1"/>
              </w:rPr>
              <w:t>УТВЕРЖДЕНО</w:t>
            </w:r>
            <w:r>
              <w:br/>
            </w:r>
            <w:hyperlink w:anchor="a2" w:tooltip="+" w:history="1">
              <w:r>
                <w:rPr>
                  <w:rStyle w:val="Hyperlink"/>
                </w:rPr>
                <w:t>Решение</w:t>
              </w:r>
            </w:hyperlink>
            <w:r>
              <w:br/>
            </w:r>
            <w:r>
              <w:rPr>
                <w:rStyle w:val="justify1"/>
              </w:rPr>
              <w:t>Минского областного</w:t>
            </w:r>
            <w:r>
              <w:br/>
            </w:r>
            <w:r>
              <w:rPr>
                <w:rStyle w:val="justify1"/>
              </w:rPr>
              <w:t>исполнительного комитета</w:t>
            </w:r>
            <w:r>
              <w:br/>
            </w:r>
            <w:r>
              <w:rPr>
                <w:rStyle w:val="justify1"/>
              </w:rPr>
              <w:t>31.10.2019 № 844</w:t>
            </w:r>
          </w:p>
        </w:tc>
      </w:tr>
    </w:tbl>
    <w:p w:rsidR="00AF7A33" w:rsidRDefault="008513BE">
      <w:pPr>
        <w:pStyle w:val="Heading2"/>
        <w:divId w:val="1599291318"/>
        <w:rPr>
          <w:rFonts w:eastAsia="Times New Roman"/>
        </w:rPr>
      </w:pPr>
      <w:bookmarkStart w:id="1" w:name="a1"/>
      <w:bookmarkEnd w:id="1"/>
      <w:r>
        <w:rPr>
          <w:rFonts w:eastAsia="Times New Roman"/>
        </w:rPr>
        <w:t>ПЕРЕЧЕНЬ</w:t>
      </w:r>
      <w:r>
        <w:rPr>
          <w:rFonts w:eastAsia="Times New Roman"/>
        </w:rPr>
        <w:br/>
        <w:t xml:space="preserve">неплатежеспособных сельскохозяйственных организаций Минской области, подлежащих финансовому оздоровлению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621"/>
        <w:gridCol w:w="2621"/>
        <w:gridCol w:w="1762"/>
        <w:gridCol w:w="2336"/>
      </w:tblGrid>
      <w:tr w:rsidR="00AF7A33">
        <w:trPr>
          <w:divId w:val="159929131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Наименование сельскохозяйственной организации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Юридический адрес сельскохозяйственной организации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Учетный номер плательщика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Период, на который разработан бизнес-план сельскохозяйственной организации</w:t>
            </w:r>
          </w:p>
        </w:tc>
      </w:tr>
      <w:tr w:rsidR="00AF7A33">
        <w:trPr>
          <w:divId w:val="159929131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1. Открытое акционерное общество «Первомайский»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223341, Республика Беларусь, Минская область, Березинский район, д. Микуличи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600036495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2019-2028 годы</w:t>
            </w:r>
          </w:p>
        </w:tc>
      </w:tr>
      <w:tr w:rsidR="00AF7A33">
        <w:trPr>
          <w:divId w:val="159929131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2. Открытию акционерное общество «Долгиново»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222424, Республика Беларусь, Минская область, Вилейский район, аг. Долгиново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600010797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2019-2028 годы</w:t>
            </w:r>
          </w:p>
        </w:tc>
      </w:tr>
      <w:tr w:rsidR="00AF7A33">
        <w:trPr>
          <w:divId w:val="159929131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3. Открытое акционерное общество «Новая Любания»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222451, Республика Беларусь, Минская область, Вилейский район, аг. Любань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600010983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2019-2028 годы</w:t>
            </w:r>
          </w:p>
        </w:tc>
      </w:tr>
      <w:tr w:rsidR="00AF7A33">
        <w:trPr>
          <w:divId w:val="159929131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4. Открытое акционерное общество «Заостровечье»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222647, Республика Беларусь, Минская, область, Клецкий район, аг. Заостровечье, ул. Мира, 41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600123538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2019-2028 годы</w:t>
            </w:r>
          </w:p>
        </w:tc>
      </w:tr>
      <w:tr w:rsidR="00AF7A33">
        <w:trPr>
          <w:divId w:val="159929131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5. Коммунальное сельскохозяйственное унитарное предприятие «Племенной завод Красная Звезда»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222659, Республика Беларусь, Минская область, Клецкий район, аг. Яновичи, ул. Гагарина, 10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600123300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2019-2027 годы</w:t>
            </w:r>
          </w:p>
        </w:tc>
      </w:tr>
      <w:tr w:rsidR="00AF7A33">
        <w:trPr>
          <w:divId w:val="1599291318"/>
        </w:trPr>
        <w:tc>
          <w:tcPr>
            <w:tcW w:w="1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6. Коммунальное сельскохозяйственное унитарное предприятие «Докторовичи»</w:t>
            </w:r>
          </w:p>
        </w:tc>
        <w:tc>
          <w:tcPr>
            <w:tcW w:w="1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223915, Республика Беларусь, Минская область, Копыльский район, аг. Новые Докторовичи, ул. Центральная, д. 42А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600018361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2019-2027 годы</w:t>
            </w:r>
          </w:p>
        </w:tc>
      </w:tr>
      <w:tr w:rsidR="00AF7A33">
        <w:trPr>
          <w:divId w:val="1599291318"/>
        </w:trPr>
        <w:tc>
          <w:tcPr>
            <w:tcW w:w="1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7. Открытое акционерное общество «МайскоеАгро»</w:t>
            </w:r>
          </w:p>
        </w:tc>
        <w:tc>
          <w:tcPr>
            <w:tcW w:w="1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222011, Республика Беларусь, Минская область, Крупский район, аг. Худовцы, ул. Центральная, 14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600025203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2019-2028 годы</w:t>
            </w:r>
          </w:p>
        </w:tc>
      </w:tr>
      <w:tr w:rsidR="00AF7A33">
        <w:trPr>
          <w:divId w:val="1599291318"/>
        </w:trPr>
        <w:tc>
          <w:tcPr>
            <w:tcW w:w="1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8. Открытое акционерное общество «Старосельское»</w:t>
            </w:r>
          </w:p>
        </w:tc>
        <w:tc>
          <w:tcPr>
            <w:tcW w:w="1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222027, Республика Беларусь, Минская область, Крупский район, д. Староселье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600025655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2019-2028 годы</w:t>
            </w:r>
          </w:p>
        </w:tc>
      </w:tr>
      <w:tr w:rsidR="00AF7A33">
        <w:trPr>
          <w:divId w:val="1599291318"/>
        </w:trPr>
        <w:tc>
          <w:tcPr>
            <w:tcW w:w="1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9. Закрытое акционерное общество «Хотюхово»</w:t>
            </w:r>
          </w:p>
        </w:tc>
        <w:tc>
          <w:tcPr>
            <w:tcW w:w="1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222022, Республика Беларусь, Минская область, Крупский район, аг. Хотюхово, свинокомплекс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690022455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2019-2027 годы</w:t>
            </w:r>
          </w:p>
        </w:tc>
      </w:tr>
      <w:tr w:rsidR="00AF7A33">
        <w:trPr>
          <w:divId w:val="1599291318"/>
        </w:trPr>
        <w:tc>
          <w:tcPr>
            <w:tcW w:w="1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10. Коммунальное сельскохозяйственное унитарное предприятие «Спутник-агро»</w:t>
            </w:r>
          </w:p>
        </w:tc>
        <w:tc>
          <w:tcPr>
            <w:tcW w:w="1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223134, Республика Беларусь, Минская область, Логойский район, аг. Октябрь, ул. Центральная, д. 52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690849140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2019-2028 годы</w:t>
            </w:r>
          </w:p>
        </w:tc>
      </w:tr>
      <w:tr w:rsidR="00AF7A33">
        <w:trPr>
          <w:divId w:val="1599291318"/>
        </w:trPr>
        <w:tc>
          <w:tcPr>
            <w:tcW w:w="1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11. Открытое акционерное общество «Нестановичи-Агро»</w:t>
            </w:r>
          </w:p>
        </w:tc>
        <w:tc>
          <w:tcPr>
            <w:tcW w:w="1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223140, Республика Беларусь, Минская область, Логойский район, д. Малые Нестановичи, пер. Центральный, 6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690657600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2019-2028 годы</w:t>
            </w:r>
          </w:p>
        </w:tc>
      </w:tr>
      <w:tr w:rsidR="00AF7A33">
        <w:trPr>
          <w:divId w:val="1599291318"/>
        </w:trPr>
        <w:tc>
          <w:tcPr>
            <w:tcW w:w="1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12. Иностранное общество с ограниченной ответственностью «ИСТЕРН ШИП»</w:t>
            </w:r>
          </w:p>
        </w:tc>
        <w:tc>
          <w:tcPr>
            <w:tcW w:w="1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223121, Республика Беларусь, Минская область, Логойский район, Гайненский с/с, 6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690843155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2019-2028 годы</w:t>
            </w:r>
          </w:p>
        </w:tc>
      </w:tr>
      <w:tr w:rsidR="00AF7A33">
        <w:trPr>
          <w:divId w:val="1599291318"/>
        </w:trPr>
        <w:tc>
          <w:tcPr>
            <w:tcW w:w="1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13. Общество с ограниченной ответственностью «ГринСтеп»</w:t>
            </w:r>
          </w:p>
        </w:tc>
        <w:tc>
          <w:tcPr>
            <w:tcW w:w="1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223121, Республика Беларусь, Минская область, Логойский район, Гайненский с/с, 6, каб. 1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690664432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2019-2028 годы</w:t>
            </w:r>
          </w:p>
        </w:tc>
      </w:tr>
      <w:tr w:rsidR="00AF7A33">
        <w:trPr>
          <w:divId w:val="1599291318"/>
        </w:trPr>
        <w:tc>
          <w:tcPr>
            <w:tcW w:w="1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14. Коммунальное сельскохозяйственное унитарное предприятие «Талица-агро»</w:t>
            </w:r>
          </w:p>
        </w:tc>
        <w:tc>
          <w:tcPr>
            <w:tcW w:w="1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223830, Республика Беларусь, Минская область, Любанский район, аг. Таль, ул. Советская, 4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600020809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2019-2028 годы</w:t>
            </w:r>
          </w:p>
        </w:tc>
      </w:tr>
      <w:tr w:rsidR="00AF7A33">
        <w:trPr>
          <w:divId w:val="159929131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15. Открытое акционерное общество «"Чырвоная Змена" им. К.И.Шаплыко»</w:t>
            </w:r>
          </w:p>
        </w:tc>
        <w:tc>
          <w:tcPr>
            <w:tcW w:w="1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222828, Республика Беларусь, Минская область, Любанский район, аг. Сорочи, ул. Советская, 2А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600020786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2019-2028 годы</w:t>
            </w:r>
          </w:p>
        </w:tc>
      </w:tr>
      <w:tr w:rsidR="00AF7A33">
        <w:trPr>
          <w:divId w:val="159929131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16 Открытое акционерное общество «Уречский»</w:t>
            </w:r>
          </w:p>
        </w:tc>
        <w:tc>
          <w:tcPr>
            <w:tcW w:w="1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223831, Республика Беларусь, Минская область, Любанский район, г.п. Уречье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600020760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2019-2028 годы</w:t>
            </w:r>
          </w:p>
        </w:tc>
      </w:tr>
      <w:tr w:rsidR="00AF7A33">
        <w:trPr>
          <w:divId w:val="159929131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17. Открытое акционерное общество «Полесье-агро»</w:t>
            </w:r>
          </w:p>
        </w:tc>
        <w:tc>
          <w:tcPr>
            <w:tcW w:w="1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223813, Республика Беларусь, Минская область, Любанский район, аг. Сосны, ул. Лесная, 2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600020878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2019-2028 годы</w:t>
            </w:r>
          </w:p>
        </w:tc>
      </w:tr>
      <w:tr w:rsidR="00AF7A33">
        <w:trPr>
          <w:divId w:val="159929131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18. Коммунальное сельскохозяйственное унитарное предприятие «Экспериментальная база "Любанская"»</w:t>
            </w:r>
          </w:p>
        </w:tc>
        <w:tc>
          <w:tcPr>
            <w:tcW w:w="1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223822, Республика Беларусь, Минская область, Любанский район, п. Сосны, ул. Первомайская, 5: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600017074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2019-2028 годы</w:t>
            </w:r>
          </w:p>
        </w:tc>
      </w:tr>
      <w:tr w:rsidR="00AF7A33">
        <w:trPr>
          <w:divId w:val="159929131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19. Коммунальное сельскохозяйственное унитарное предприятие «Видевщина»</w:t>
            </w:r>
          </w:p>
        </w:tc>
        <w:tc>
          <w:tcPr>
            <w:tcW w:w="1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222331, Республика Беларусь, Минская область, Молодеченский район, аг. Видевщина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690016170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2019-2027 годы</w:t>
            </w:r>
          </w:p>
        </w:tc>
      </w:tr>
      <w:tr w:rsidR="00AF7A33">
        <w:trPr>
          <w:divId w:val="159929131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20. Открытое акционерное общество «Мядельагросервис»</w:t>
            </w:r>
          </w:p>
        </w:tc>
        <w:tc>
          <w:tcPr>
            <w:tcW w:w="1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222393, Республика Беларусь, Минская область, г. Мядель, ул. Промышленная, 1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600061019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2019-2028 годы</w:t>
            </w:r>
          </w:p>
        </w:tc>
      </w:tr>
      <w:tr w:rsidR="00AF7A33">
        <w:trPr>
          <w:divId w:val="159929131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21. Открытое акционерное общество «Зани»</w:t>
            </w:r>
          </w:p>
        </w:tc>
        <w:tc>
          <w:tcPr>
            <w:tcW w:w="1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222390, Республика Беларусь, Минская область, Мядельский район, д. Зани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600057666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2019-2028 годы</w:t>
            </w:r>
          </w:p>
        </w:tc>
      </w:tr>
      <w:tr w:rsidR="00AF7A33">
        <w:trPr>
          <w:divId w:val="159929131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22. Открытое акционерное общество «Прудники-Агро»</w:t>
            </w:r>
          </w:p>
        </w:tc>
        <w:tc>
          <w:tcPr>
            <w:tcW w:w="1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222376, Республика Беларусь, Минская область, Мядельский район, Кривичский с/с, д. Прудники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600057704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2019-2028 годы</w:t>
            </w:r>
          </w:p>
        </w:tc>
      </w:tr>
      <w:tr w:rsidR="00AF7A33">
        <w:trPr>
          <w:divId w:val="159929131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23. Открытое акционерное общество «Свирь-агро»</w:t>
            </w:r>
          </w:p>
        </w:tc>
        <w:tc>
          <w:tcPr>
            <w:tcW w:w="1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222387, Республика Беларусь, Минская область, Мядельский район, г.п. Свирь, ул. Гуриновича. 25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600057773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2019-2028 годы</w:t>
            </w:r>
          </w:p>
        </w:tc>
      </w:tr>
      <w:tr w:rsidR="00AF7A33">
        <w:trPr>
          <w:divId w:val="159929131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24. Открытое акционерное общество «Будславское»</w:t>
            </w:r>
          </w:p>
        </w:tc>
        <w:tc>
          <w:tcPr>
            <w:tcW w:w="1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222374, Республика Беларусь, Минская область, Мядельский район, аг. Будслав, ул. 17 Сентября, 20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600057811</w:t>
            </w:r>
          </w:p>
        </w:tc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F7A33" w:rsidRDefault="008513B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2019-2028 годы</w:t>
            </w:r>
          </w:p>
        </w:tc>
      </w:tr>
    </w:tbl>
    <w:p w:rsidR="008513BE" w:rsidRDefault="008513BE">
      <w:pPr>
        <w:divId w:val="1599291318"/>
        <w:rPr>
          <w:rFonts w:eastAsia="Times New Roman"/>
        </w:rPr>
      </w:pPr>
    </w:p>
    <w:sectPr w:rsidR="008513BE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697"/>
    <w:rsid w:val="007976A3"/>
    <w:rsid w:val="008513BE"/>
    <w:rsid w:val="00961697"/>
    <w:rsid w:val="00AF7A33"/>
    <w:rsid w:val="00EC0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4818D62-64A7-4DAC-9DAE-E4A6F62FB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pPr>
      <w:spacing w:after="400" w:line="240" w:lineRule="auto"/>
      <w:jc w:val="center"/>
      <w:outlineLvl w:val="0"/>
    </w:pPr>
    <w:rPr>
      <w:rFonts w:ascii="Times New Roman" w:hAnsi="Times New Roman" w:cs="Times New Roman"/>
      <w:b/>
      <w:bCs/>
      <w:color w:val="000088"/>
      <w:kern w:val="36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pPr>
      <w:spacing w:before="400" w:after="400" w:line="240" w:lineRule="auto"/>
      <w:jc w:val="center"/>
      <w:outlineLvl w:val="1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hAnsi="Times New Roman" w:cs="Times New Roman"/>
      <w:b/>
      <w:bCs/>
      <w:color w:val="000088"/>
      <w:kern w:val="36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Pr>
      <w:color w:val="0038C8"/>
      <w:u w:val="single"/>
    </w:rPr>
  </w:style>
  <w:style w:type="paragraph" w:styleId="NormalWeb">
    <w:name w:val="Normal (Web)"/>
    <w:basedOn w:val="Normal"/>
    <w:uiPriority w:val="99"/>
    <w:semiHidden/>
    <w:unhideWhenUsed/>
    <w:pPr>
      <w:spacing w:line="240" w:lineRule="auto"/>
      <w:ind w:firstLine="567"/>
    </w:pPr>
    <w:rPr>
      <w:rFonts w:ascii="Times New Roman" w:hAnsi="Times New Roman" w:cs="Times New Roman"/>
      <w:sz w:val="24"/>
      <w:szCs w:val="24"/>
    </w:rPr>
  </w:style>
  <w:style w:type="paragraph" w:customStyle="1" w:styleId="justify">
    <w:name w:val="justify"/>
    <w:basedOn w:val="Normal"/>
    <w:pPr>
      <w:spacing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0">
    <w:name w:val="a0"/>
    <w:basedOn w:val="Normal"/>
    <w:pPr>
      <w:spacing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norgpr">
    <w:name w:val="nen_orgpr"/>
    <w:basedOn w:val="Normal"/>
    <w:pPr>
      <w:spacing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endate">
    <w:name w:val="nen_date"/>
    <w:basedOn w:val="Normal"/>
    <w:pPr>
      <w:spacing w:after="400" w:line="240" w:lineRule="auto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nendolzh">
    <w:name w:val="nen_dolzh"/>
    <w:basedOn w:val="Normal"/>
    <w:pPr>
      <w:spacing w:line="240" w:lineRule="auto"/>
    </w:pPr>
    <w:rPr>
      <w:rFonts w:ascii="Times New Roman" w:hAnsi="Times New Roman" w:cs="Times New Roman"/>
      <w:b/>
      <w:bCs/>
      <w:i/>
      <w:iCs/>
      <w:sz w:val="24"/>
      <w:szCs w:val="24"/>
    </w:rPr>
  </w:style>
  <w:style w:type="paragraph" w:customStyle="1" w:styleId="nengrif">
    <w:name w:val="nen_grif"/>
    <w:basedOn w:val="Normal"/>
    <w:pPr>
      <w:spacing w:after="0" w:line="240" w:lineRule="auto"/>
      <w:ind w:left="40"/>
    </w:pPr>
    <w:rPr>
      <w:rFonts w:ascii="Times New Roman" w:hAnsi="Times New Roman" w:cs="Times New Roman"/>
      <w:i/>
      <w:iCs/>
      <w:sz w:val="24"/>
      <w:szCs w:val="24"/>
    </w:rPr>
  </w:style>
  <w:style w:type="character" w:customStyle="1" w:styleId="justify1">
    <w:name w:val="justify1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9291318">
      <w:bodyDiv w:val="1"/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\Users\&#1041;&#1091;&#1093;&#1075;&#1072;&#1083;&#1090;&#1077;&#1088;\Downloads\tx.dll%3fd=383800&amp;a=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853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</dc:creator>
  <cp:lastModifiedBy>cloudconvert_1</cp:lastModifiedBy>
  <cp:revision>1</cp:revision>
  <dcterms:created xsi:type="dcterms:W3CDTF">2020-07-07T14:50:00Z</dcterms:created>
  <dcterms:modified xsi:type="dcterms:W3CDTF">2026-08-19T09:53:00Z</dcterms:modified>
</cp:coreProperties>
</file>